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12" w:rsidRPr="003367DA" w:rsidRDefault="00B93875">
      <w:pPr>
        <w:pStyle w:val="Title"/>
        <w:rPr>
          <w:rFonts w:ascii="Garamond" w:hAnsi="Garamond"/>
        </w:rPr>
      </w:pPr>
      <w:r w:rsidRPr="003367DA">
        <w:rPr>
          <w:rFonts w:ascii="Garamond" w:hAnsi="Garamond"/>
        </w:rPr>
        <w:t>Summer Reading Assignment</w:t>
      </w:r>
    </w:p>
    <w:p w:rsidR="00F35212" w:rsidRPr="003367DA" w:rsidRDefault="00B93875">
      <w:pPr>
        <w:jc w:val="center"/>
        <w:rPr>
          <w:rFonts w:ascii="Garamond" w:hAnsi="Garamond"/>
          <w:b/>
          <w:bCs/>
        </w:rPr>
      </w:pPr>
      <w:r w:rsidRPr="003367DA">
        <w:rPr>
          <w:rFonts w:ascii="Garamond" w:hAnsi="Garamond"/>
          <w:b/>
          <w:bCs/>
        </w:rPr>
        <w:t>For AP English Language and Composition</w:t>
      </w:r>
    </w:p>
    <w:p w:rsidR="00F35212" w:rsidRPr="003367DA" w:rsidRDefault="00B93875">
      <w:pPr>
        <w:jc w:val="center"/>
        <w:rPr>
          <w:rFonts w:ascii="Garamond" w:hAnsi="Garamond"/>
          <w:b/>
          <w:bCs/>
        </w:rPr>
      </w:pPr>
      <w:r w:rsidRPr="003367DA">
        <w:rPr>
          <w:rFonts w:ascii="Garamond" w:hAnsi="Garamond"/>
          <w:b/>
          <w:bCs/>
        </w:rPr>
        <w:t>201</w:t>
      </w:r>
      <w:r>
        <w:rPr>
          <w:rFonts w:ascii="Garamond" w:hAnsi="Garamond"/>
          <w:b/>
          <w:bCs/>
        </w:rPr>
        <w:t>1</w:t>
      </w:r>
      <w:r w:rsidRPr="003367DA">
        <w:rPr>
          <w:rFonts w:ascii="Garamond" w:hAnsi="Garamond"/>
          <w:b/>
          <w:bCs/>
        </w:rPr>
        <w:t>-201</w:t>
      </w:r>
      <w:r>
        <w:rPr>
          <w:rFonts w:ascii="Garamond" w:hAnsi="Garamond"/>
          <w:b/>
          <w:bCs/>
        </w:rPr>
        <w:t>2</w:t>
      </w:r>
    </w:p>
    <w:p w:rsidR="00F35212" w:rsidRPr="003367DA" w:rsidRDefault="00641C57">
      <w:pPr>
        <w:jc w:val="center"/>
        <w:rPr>
          <w:rFonts w:ascii="Garamond" w:hAnsi="Garamond"/>
          <w:b/>
          <w:bCs/>
        </w:rPr>
      </w:pPr>
    </w:p>
    <w:p w:rsidR="00F35212" w:rsidRPr="003367DA" w:rsidRDefault="00B93875">
      <w:pPr>
        <w:rPr>
          <w:rFonts w:ascii="Garamond" w:hAnsi="Garamond"/>
          <w:sz w:val="22"/>
        </w:rPr>
      </w:pPr>
      <w:r w:rsidRPr="003367DA">
        <w:rPr>
          <w:rFonts w:ascii="Garamond" w:hAnsi="Garamond"/>
          <w:b/>
          <w:bCs/>
          <w:sz w:val="22"/>
        </w:rPr>
        <w:t xml:space="preserve">Expectations: </w:t>
      </w:r>
      <w:r w:rsidRPr="003367DA">
        <w:rPr>
          <w:rFonts w:ascii="Garamond" w:hAnsi="Garamond"/>
          <w:sz w:val="22"/>
        </w:rPr>
        <w:t xml:space="preserve">Students, you will be responsible for turning in evidence/commentary journals on the first day of class. </w:t>
      </w:r>
      <w:r w:rsidR="00641C57">
        <w:rPr>
          <w:rFonts w:ascii="Garamond" w:hAnsi="Garamond"/>
          <w:sz w:val="22"/>
        </w:rPr>
        <w:t xml:space="preserve">This assignment will be due on the first day of the semester in which you are scheduled for </w:t>
      </w:r>
      <w:proofErr w:type="spellStart"/>
      <w:r w:rsidR="00641C57">
        <w:rPr>
          <w:rFonts w:ascii="Garamond" w:hAnsi="Garamond"/>
          <w:sz w:val="22"/>
        </w:rPr>
        <w:t>the</w:t>
      </w:r>
      <w:proofErr w:type="spellEnd"/>
      <w:r w:rsidR="00641C57">
        <w:rPr>
          <w:rFonts w:ascii="Garamond" w:hAnsi="Garamond"/>
          <w:sz w:val="22"/>
        </w:rPr>
        <w:t xml:space="preserve"> class. </w:t>
      </w:r>
      <w:r w:rsidRPr="003367DA">
        <w:rPr>
          <w:rFonts w:ascii="Garamond" w:hAnsi="Garamond"/>
          <w:sz w:val="22"/>
        </w:rPr>
        <w:t>Students are expected to spread this assi</w:t>
      </w:r>
      <w:r>
        <w:rPr>
          <w:rFonts w:ascii="Garamond" w:hAnsi="Garamond"/>
          <w:sz w:val="22"/>
        </w:rPr>
        <w:t>gnment out as they read the book</w:t>
      </w:r>
      <w:r w:rsidRPr="003367DA">
        <w:rPr>
          <w:rFonts w:ascii="Garamond" w:hAnsi="Garamond"/>
          <w:sz w:val="22"/>
        </w:rPr>
        <w:t xml:space="preserve"> rather than doing it all the day before school starts. Evidence/commentary journals are a great way to absorb the content and implications of a book, if they are done as the student reads. There will be a test on each book during the second week of school, after we have discussed the books. </w:t>
      </w:r>
    </w:p>
    <w:p w:rsidR="00F35212" w:rsidRPr="003367DA" w:rsidRDefault="00641C57">
      <w:pPr>
        <w:rPr>
          <w:rFonts w:ascii="Garamond" w:hAnsi="Garamond"/>
          <w:sz w:val="22"/>
        </w:rPr>
      </w:pPr>
    </w:p>
    <w:p w:rsidR="00F35212" w:rsidRPr="003367DA" w:rsidRDefault="00B93875">
      <w:pPr>
        <w:rPr>
          <w:rFonts w:ascii="Garamond" w:hAnsi="Garamond"/>
          <w:sz w:val="22"/>
        </w:rPr>
      </w:pPr>
      <w:r w:rsidRPr="003367DA">
        <w:rPr>
          <w:rFonts w:ascii="Garamond" w:hAnsi="Garamond"/>
          <w:b/>
          <w:bCs/>
          <w:sz w:val="22"/>
        </w:rPr>
        <w:t xml:space="preserve">Assignment: </w:t>
      </w:r>
      <w:r w:rsidRPr="003367DA">
        <w:rPr>
          <w:rFonts w:ascii="Garamond" w:hAnsi="Garamond"/>
          <w:sz w:val="22"/>
        </w:rPr>
        <w:t xml:space="preserve"> Read the AP summer reading selections, </w:t>
      </w:r>
      <w:r w:rsidRPr="003367DA">
        <w:rPr>
          <w:rFonts w:ascii="Garamond" w:hAnsi="Garamond"/>
          <w:i/>
          <w:iCs/>
          <w:sz w:val="22"/>
        </w:rPr>
        <w:t xml:space="preserve">The Overachievers: The Secret Lives of Driven Kids </w:t>
      </w:r>
      <w:r w:rsidRPr="003367DA">
        <w:rPr>
          <w:rFonts w:ascii="Garamond" w:hAnsi="Garamond"/>
          <w:iCs/>
          <w:sz w:val="22"/>
        </w:rPr>
        <w:t xml:space="preserve">by Alexandra Robbins </w:t>
      </w:r>
      <w:r w:rsidRPr="003367DA">
        <w:rPr>
          <w:rFonts w:ascii="Garamond" w:hAnsi="Garamond"/>
          <w:sz w:val="22"/>
        </w:rPr>
        <w:t xml:space="preserve">and </w:t>
      </w:r>
      <w:r w:rsidRPr="003367DA">
        <w:rPr>
          <w:rFonts w:ascii="Garamond" w:hAnsi="Garamond"/>
          <w:i/>
          <w:iCs/>
          <w:sz w:val="22"/>
        </w:rPr>
        <w:t xml:space="preserve">Their Eyes Were Watching God </w:t>
      </w:r>
      <w:r w:rsidRPr="003367DA">
        <w:rPr>
          <w:rFonts w:ascii="Garamond" w:hAnsi="Garamond"/>
          <w:iCs/>
          <w:sz w:val="22"/>
        </w:rPr>
        <w:t xml:space="preserve">by </w:t>
      </w:r>
      <w:proofErr w:type="spellStart"/>
      <w:r w:rsidRPr="003367DA">
        <w:rPr>
          <w:rFonts w:ascii="Garamond" w:hAnsi="Garamond"/>
          <w:iCs/>
          <w:sz w:val="22"/>
        </w:rPr>
        <w:t>Zora</w:t>
      </w:r>
      <w:proofErr w:type="spellEnd"/>
      <w:r w:rsidRPr="003367DA">
        <w:rPr>
          <w:rFonts w:ascii="Garamond" w:hAnsi="Garamond"/>
          <w:iCs/>
          <w:sz w:val="22"/>
        </w:rPr>
        <w:t xml:space="preserve"> Neale Hurston</w:t>
      </w:r>
      <w:r w:rsidRPr="003367DA">
        <w:rPr>
          <w:rFonts w:ascii="Garamond" w:hAnsi="Garamond"/>
          <w:sz w:val="22"/>
        </w:rPr>
        <w:t xml:space="preserve">. As you read, you will write an evidence/commentary journal, to be recorded in a </w:t>
      </w:r>
      <w:r w:rsidRPr="003367DA">
        <w:rPr>
          <w:rFonts w:ascii="Garamond" w:hAnsi="Garamond"/>
          <w:b/>
          <w:sz w:val="22"/>
        </w:rPr>
        <w:t>composition book</w:t>
      </w:r>
      <w:r w:rsidRPr="003367DA">
        <w:rPr>
          <w:rFonts w:ascii="Garamond" w:hAnsi="Garamond"/>
          <w:sz w:val="22"/>
        </w:rPr>
        <w:t xml:space="preserve">, not a spiral notebook. </w:t>
      </w:r>
    </w:p>
    <w:p w:rsidR="00F35212" w:rsidRPr="003367DA" w:rsidRDefault="00641C57">
      <w:pPr>
        <w:rPr>
          <w:rFonts w:ascii="Garamond" w:hAnsi="Garamond"/>
          <w:sz w:val="22"/>
        </w:rPr>
      </w:pPr>
    </w:p>
    <w:p w:rsidR="000B3933" w:rsidRPr="003367DA" w:rsidRDefault="00B93875">
      <w:pPr>
        <w:numPr>
          <w:ilvl w:val="0"/>
          <w:numId w:val="5"/>
        </w:numPr>
        <w:rPr>
          <w:rFonts w:ascii="Garamond" w:hAnsi="Garamond"/>
          <w:sz w:val="22"/>
        </w:rPr>
      </w:pPr>
      <w:r w:rsidRPr="003367DA">
        <w:rPr>
          <w:rFonts w:ascii="Garamond" w:hAnsi="Garamond"/>
          <w:sz w:val="22"/>
        </w:rPr>
        <w:t>First, fold several pages of your notebook vertically, and label the left column “evidence”, the right “commentary.”</w:t>
      </w:r>
    </w:p>
    <w:p w:rsidR="00F35212" w:rsidRPr="003367DA" w:rsidRDefault="00B93875">
      <w:pPr>
        <w:numPr>
          <w:ilvl w:val="0"/>
          <w:numId w:val="5"/>
        </w:numPr>
        <w:rPr>
          <w:rFonts w:ascii="Garamond" w:hAnsi="Garamond"/>
          <w:sz w:val="22"/>
        </w:rPr>
      </w:pPr>
      <w:r w:rsidRPr="003367DA">
        <w:rPr>
          <w:rFonts w:ascii="Garamond" w:hAnsi="Garamond"/>
          <w:sz w:val="22"/>
        </w:rPr>
        <w:t xml:space="preserve">Once you record the evidence, leave space for commentary. I recommend only recording one or two pieces of evidence per page; otherwise, you won’t have room for your commentary. If you have several per page, and you do have room for commentary, then your commentary may be insufficient. </w:t>
      </w:r>
    </w:p>
    <w:p w:rsidR="00F35212" w:rsidRPr="003367DA" w:rsidRDefault="00B93875">
      <w:pPr>
        <w:numPr>
          <w:ilvl w:val="0"/>
          <w:numId w:val="5"/>
        </w:numPr>
        <w:rPr>
          <w:rFonts w:ascii="Garamond" w:hAnsi="Garamond"/>
          <w:sz w:val="22"/>
        </w:rPr>
      </w:pPr>
      <w:r w:rsidRPr="003367DA">
        <w:rPr>
          <w:rFonts w:ascii="Garamond" w:hAnsi="Garamond"/>
          <w:sz w:val="22"/>
        </w:rPr>
        <w:t>For each book, select three motifs*. For each motif you select, you will look for three pieces of evidence** in the novel and quote that evidence in the left column.</w:t>
      </w:r>
    </w:p>
    <w:p w:rsidR="00F35212" w:rsidRPr="003367DA" w:rsidRDefault="00B93875">
      <w:pPr>
        <w:numPr>
          <w:ilvl w:val="0"/>
          <w:numId w:val="5"/>
        </w:numPr>
        <w:rPr>
          <w:rFonts w:ascii="Garamond" w:hAnsi="Garamond"/>
          <w:sz w:val="22"/>
        </w:rPr>
      </w:pPr>
      <w:r w:rsidRPr="003367DA">
        <w:rPr>
          <w:rFonts w:ascii="Garamond" w:hAnsi="Garamond"/>
          <w:sz w:val="22"/>
        </w:rPr>
        <w:t xml:space="preserve">In the right column, you will record your commentary; that is, you will analyze the quoted evidence by interpreting its meaning </w:t>
      </w:r>
      <w:r w:rsidRPr="003367DA">
        <w:rPr>
          <w:rFonts w:ascii="Garamond" w:hAnsi="Garamond"/>
          <w:b/>
          <w:sz w:val="22"/>
        </w:rPr>
        <w:t>and</w:t>
      </w:r>
      <w:r w:rsidRPr="003367DA">
        <w:rPr>
          <w:rFonts w:ascii="Garamond" w:hAnsi="Garamond"/>
          <w:sz w:val="22"/>
        </w:rPr>
        <w:t xml:space="preserve"> discussing what it means to the work as a whole. Discuss the meanings of metaphors and symbols, the underlying implications of passages, and the connotations of word choices. When a reader reads your evidence and commentary on a particular motif, he should gain deeper understanding of that motif and of the message the author communicates through it. Focus on higher order thinking skills such as analysis, synthesis, and evaluation, rather than simple interpretations. </w:t>
      </w:r>
    </w:p>
    <w:p w:rsidR="00F35212" w:rsidRPr="003367DA" w:rsidRDefault="00B93875">
      <w:pPr>
        <w:numPr>
          <w:ilvl w:val="0"/>
          <w:numId w:val="5"/>
        </w:numPr>
        <w:rPr>
          <w:rFonts w:ascii="Garamond" w:hAnsi="Garamond"/>
          <w:sz w:val="22"/>
        </w:rPr>
      </w:pPr>
      <w:r w:rsidRPr="003367DA">
        <w:rPr>
          <w:rFonts w:ascii="Garamond" w:hAnsi="Garamond"/>
          <w:sz w:val="22"/>
        </w:rPr>
        <w:t xml:space="preserve">When you finish, you will have recorded a total of </w:t>
      </w:r>
      <w:r w:rsidRPr="003367DA">
        <w:rPr>
          <w:rFonts w:ascii="Garamond" w:hAnsi="Garamond"/>
          <w:b/>
          <w:sz w:val="22"/>
        </w:rPr>
        <w:t>18 commentaries</w:t>
      </w:r>
      <w:r w:rsidRPr="003367DA">
        <w:rPr>
          <w:rFonts w:ascii="Garamond" w:hAnsi="Garamond"/>
          <w:sz w:val="22"/>
        </w:rPr>
        <w:t xml:space="preserve"> (3 commentaries x 3 motifs x 2 books). Do not make the mistake of doing only one piece of commentary per three pieces of evidence. </w:t>
      </w:r>
    </w:p>
    <w:p w:rsidR="00F35212" w:rsidRDefault="00641C57">
      <w:pPr>
        <w:rPr>
          <w:b/>
          <w:bCs/>
        </w:rPr>
      </w:pPr>
    </w:p>
    <w:p w:rsidR="00F35212" w:rsidRDefault="00B93875">
      <w:pPr>
        <w:rPr>
          <w:b/>
          <w:bCs/>
        </w:rPr>
      </w:pPr>
      <w:r>
        <w:rPr>
          <w:b/>
          <w:bCs/>
        </w:rPr>
        <w:t xml:space="preserve">Examples of acceptable commentary from </w:t>
      </w:r>
      <w:r>
        <w:rPr>
          <w:b/>
          <w:bCs/>
          <w:i/>
          <w:iCs/>
        </w:rPr>
        <w:t>The Great Gatsby</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F35212">
        <w:tc>
          <w:tcPr>
            <w:tcW w:w="4428" w:type="dxa"/>
          </w:tcPr>
          <w:p w:rsidR="00F35212" w:rsidRDefault="00B93875">
            <w:pPr>
              <w:pStyle w:val="Heading2"/>
            </w:pPr>
            <w:r>
              <w:t>Evidence</w:t>
            </w:r>
          </w:p>
        </w:tc>
        <w:tc>
          <w:tcPr>
            <w:tcW w:w="4428" w:type="dxa"/>
          </w:tcPr>
          <w:p w:rsidR="00F35212" w:rsidRDefault="00B93875">
            <w:pPr>
              <w:pStyle w:val="Heading2"/>
            </w:pPr>
            <w:r>
              <w:t>Commentary</w:t>
            </w:r>
          </w:p>
        </w:tc>
      </w:tr>
      <w:tr w:rsidR="00F35212">
        <w:tc>
          <w:tcPr>
            <w:tcW w:w="4428" w:type="dxa"/>
          </w:tcPr>
          <w:p w:rsidR="00F35212" w:rsidRDefault="00B93875">
            <w:pPr>
              <w:rPr>
                <w:sz w:val="20"/>
              </w:rPr>
            </w:pPr>
            <w:r>
              <w:rPr>
                <w:sz w:val="20"/>
              </w:rPr>
              <w:t xml:space="preserve">Gatsby’s books: </w:t>
            </w:r>
          </w:p>
          <w:p w:rsidR="00F35212" w:rsidRDefault="00B93875">
            <w:pPr>
              <w:rPr>
                <w:b/>
                <w:bCs/>
                <w:sz w:val="20"/>
              </w:rPr>
            </w:pPr>
            <w:r>
              <w:rPr>
                <w:i/>
                <w:iCs/>
                <w:sz w:val="20"/>
              </w:rPr>
              <w:t>“Absolutely real—have pages and everything. I thought that they would be nice durable cardboard. Matter of fact they’re absolutely real.”</w:t>
            </w:r>
            <w:r>
              <w:rPr>
                <w:sz w:val="20"/>
              </w:rPr>
              <w:t xml:space="preserve"> p. 50.</w:t>
            </w:r>
          </w:p>
        </w:tc>
        <w:tc>
          <w:tcPr>
            <w:tcW w:w="4428" w:type="dxa"/>
          </w:tcPr>
          <w:p w:rsidR="00F35212" w:rsidRDefault="00B93875">
            <w:pPr>
              <w:rPr>
                <w:b/>
                <w:bCs/>
                <w:sz w:val="20"/>
              </w:rPr>
            </w:pPr>
            <w:r>
              <w:rPr>
                <w:sz w:val="20"/>
              </w:rPr>
              <w:t>Gatsby wants to represent himself as a learned educated man. He probably believes that the books help create this image, and that image is tied to his supposed Oxford background.</w:t>
            </w:r>
          </w:p>
        </w:tc>
      </w:tr>
      <w:tr w:rsidR="00F35212">
        <w:tc>
          <w:tcPr>
            <w:tcW w:w="4428" w:type="dxa"/>
          </w:tcPr>
          <w:p w:rsidR="00F35212" w:rsidRDefault="00B93875">
            <w:pPr>
              <w:rPr>
                <w:sz w:val="20"/>
              </w:rPr>
            </w:pPr>
            <w:r>
              <w:rPr>
                <w:sz w:val="20"/>
              </w:rPr>
              <w:t xml:space="preserve">The color green: </w:t>
            </w:r>
          </w:p>
          <w:p w:rsidR="00F35212" w:rsidRDefault="00B93875">
            <w:pPr>
              <w:rPr>
                <w:sz w:val="20"/>
              </w:rPr>
            </w:pPr>
            <w:r>
              <w:rPr>
                <w:i/>
                <w:iCs/>
                <w:sz w:val="20"/>
              </w:rPr>
              <w:t>“Involuntarily I glanced seaward—and distinguished nothing but a single green light, minute and far away…”</w:t>
            </w:r>
            <w:r>
              <w:rPr>
                <w:sz w:val="20"/>
              </w:rPr>
              <w:t xml:space="preserve"> p. 26</w:t>
            </w:r>
          </w:p>
          <w:p w:rsidR="00F35212" w:rsidRDefault="00641C57">
            <w:pPr>
              <w:rPr>
                <w:b/>
                <w:bCs/>
                <w:sz w:val="20"/>
              </w:rPr>
            </w:pPr>
          </w:p>
        </w:tc>
        <w:tc>
          <w:tcPr>
            <w:tcW w:w="4428" w:type="dxa"/>
          </w:tcPr>
          <w:p w:rsidR="00F35212" w:rsidRDefault="00B93875">
            <w:pPr>
              <w:rPr>
                <w:b/>
                <w:bCs/>
                <w:sz w:val="20"/>
              </w:rPr>
            </w:pPr>
            <w:r>
              <w:rPr>
                <w:sz w:val="20"/>
              </w:rPr>
              <w:t>The green light definitely does not represent something as simple as a stop and go traffic light; however, it is an object of Gatsby’s attention, and it is distant and far away. Maybe the significance is not the color but the distance. While the light is far away it is dream like, and when Gatsby finally gets close to Daisy, he has to deal with the reality that she did, at some time, love Tom, and that she is now a mother.</w:t>
            </w:r>
          </w:p>
        </w:tc>
      </w:tr>
    </w:tbl>
    <w:p w:rsidR="00F35212" w:rsidRDefault="00B93875" w:rsidP="004E4B55">
      <w:pPr>
        <w:rPr>
          <w:b/>
          <w:bCs/>
        </w:rPr>
      </w:pPr>
      <w:r>
        <w:br w:type="page"/>
      </w:r>
      <w:r>
        <w:rPr>
          <w:b/>
          <w:bCs/>
        </w:rPr>
        <w:lastRenderedPageBreak/>
        <w:t>Select three motifs or themes for each novel.</w:t>
      </w:r>
    </w:p>
    <w:tbl>
      <w:tblPr>
        <w:tblW w:w="0" w:type="auto"/>
        <w:tblBorders>
          <w:top w:val="nil"/>
          <w:left w:val="nil"/>
          <w:bottom w:val="nil"/>
          <w:right w:val="nil"/>
          <w:insideH w:val="nil"/>
          <w:insideV w:val="nil"/>
        </w:tblBorders>
        <w:tblLook w:val="00BE"/>
      </w:tblPr>
      <w:tblGrid>
        <w:gridCol w:w="4428"/>
        <w:gridCol w:w="4428"/>
      </w:tblGrid>
      <w:tr w:rsidR="004E4B55">
        <w:tc>
          <w:tcPr>
            <w:tcW w:w="4428" w:type="dxa"/>
          </w:tcPr>
          <w:p w:rsidR="004E4B55" w:rsidRDefault="004E4B55">
            <w:pPr>
              <w:pStyle w:val="Heading1"/>
              <w:rPr>
                <w:b w:val="0"/>
                <w:bCs w:val="0"/>
                <w:i w:val="0"/>
                <w:iCs w:val="0"/>
              </w:rPr>
            </w:pPr>
            <w:r>
              <w:rPr>
                <w:b w:val="0"/>
                <w:bCs w:val="0"/>
              </w:rPr>
              <w:t xml:space="preserve">The Overachievers </w:t>
            </w:r>
            <w:r>
              <w:rPr>
                <w:b w:val="0"/>
                <w:bCs w:val="0"/>
                <w:i w:val="0"/>
                <w:iCs w:val="0"/>
              </w:rPr>
              <w:t>motifs and themes:</w:t>
            </w:r>
          </w:p>
        </w:tc>
        <w:tc>
          <w:tcPr>
            <w:tcW w:w="4428" w:type="dxa"/>
          </w:tcPr>
          <w:p w:rsidR="004E4B55" w:rsidRDefault="004E4B55">
            <w:pPr>
              <w:pStyle w:val="Heading1"/>
              <w:rPr>
                <w:b w:val="0"/>
                <w:bCs w:val="0"/>
                <w:i w:val="0"/>
                <w:iCs w:val="0"/>
              </w:rPr>
            </w:pPr>
            <w:r>
              <w:rPr>
                <w:b w:val="0"/>
                <w:bCs w:val="0"/>
              </w:rPr>
              <w:t>Their Eyes Were Watching God</w:t>
            </w:r>
            <w:r>
              <w:rPr>
                <w:b w:val="0"/>
                <w:bCs w:val="0"/>
                <w:i w:val="0"/>
                <w:iCs w:val="0"/>
              </w:rPr>
              <w:t xml:space="preserve"> motifs:</w:t>
            </w:r>
          </w:p>
        </w:tc>
      </w:tr>
      <w:tr w:rsidR="004E4B55">
        <w:tc>
          <w:tcPr>
            <w:tcW w:w="4428" w:type="dxa"/>
          </w:tcPr>
          <w:p w:rsidR="004E4B55" w:rsidRDefault="004E4B55">
            <w:pPr>
              <w:numPr>
                <w:ilvl w:val="0"/>
                <w:numId w:val="3"/>
              </w:numPr>
              <w:rPr>
                <w:sz w:val="20"/>
              </w:rPr>
            </w:pPr>
            <w:r>
              <w:rPr>
                <w:sz w:val="20"/>
              </w:rPr>
              <w:t>Corruption</w:t>
            </w:r>
          </w:p>
        </w:tc>
        <w:tc>
          <w:tcPr>
            <w:tcW w:w="4428" w:type="dxa"/>
          </w:tcPr>
          <w:p w:rsidR="004E4B55" w:rsidRDefault="004E4B55">
            <w:pPr>
              <w:numPr>
                <w:ilvl w:val="0"/>
                <w:numId w:val="3"/>
              </w:numPr>
              <w:rPr>
                <w:sz w:val="20"/>
              </w:rPr>
            </w:pPr>
            <w:r>
              <w:rPr>
                <w:sz w:val="20"/>
              </w:rPr>
              <w:t>Marriage</w:t>
            </w:r>
          </w:p>
        </w:tc>
      </w:tr>
      <w:tr w:rsidR="004E4B55">
        <w:tc>
          <w:tcPr>
            <w:tcW w:w="4428" w:type="dxa"/>
          </w:tcPr>
          <w:p w:rsidR="004E4B55" w:rsidRDefault="004E4B55">
            <w:pPr>
              <w:numPr>
                <w:ilvl w:val="0"/>
                <w:numId w:val="3"/>
              </w:numPr>
              <w:rPr>
                <w:sz w:val="20"/>
              </w:rPr>
            </w:pPr>
            <w:r>
              <w:rPr>
                <w:sz w:val="20"/>
              </w:rPr>
              <w:t>International effects</w:t>
            </w:r>
          </w:p>
        </w:tc>
        <w:tc>
          <w:tcPr>
            <w:tcW w:w="4428" w:type="dxa"/>
          </w:tcPr>
          <w:p w:rsidR="004E4B55" w:rsidRDefault="004E4B55">
            <w:pPr>
              <w:numPr>
                <w:ilvl w:val="0"/>
                <w:numId w:val="3"/>
              </w:numPr>
              <w:rPr>
                <w:sz w:val="20"/>
              </w:rPr>
            </w:pPr>
            <w:r>
              <w:rPr>
                <w:sz w:val="20"/>
              </w:rPr>
              <w:t>Trees and blossoms</w:t>
            </w:r>
          </w:p>
        </w:tc>
      </w:tr>
      <w:tr w:rsidR="004E4B55">
        <w:tc>
          <w:tcPr>
            <w:tcW w:w="4428" w:type="dxa"/>
          </w:tcPr>
          <w:p w:rsidR="004E4B55" w:rsidRDefault="004E4B55">
            <w:pPr>
              <w:numPr>
                <w:ilvl w:val="0"/>
                <w:numId w:val="3"/>
              </w:numPr>
              <w:rPr>
                <w:sz w:val="20"/>
              </w:rPr>
            </w:pPr>
            <w:r>
              <w:rPr>
                <w:sz w:val="20"/>
              </w:rPr>
              <w:t xml:space="preserve">Drugs and drinking  </w:t>
            </w:r>
          </w:p>
        </w:tc>
        <w:tc>
          <w:tcPr>
            <w:tcW w:w="4428" w:type="dxa"/>
          </w:tcPr>
          <w:p w:rsidR="004E4B55" w:rsidRDefault="004E4B55">
            <w:pPr>
              <w:numPr>
                <w:ilvl w:val="0"/>
                <w:numId w:val="3"/>
              </w:numPr>
              <w:rPr>
                <w:sz w:val="20"/>
              </w:rPr>
            </w:pPr>
            <w:r>
              <w:rPr>
                <w:sz w:val="20"/>
              </w:rPr>
              <w:t>Fidelity (marital loyalty) and trust</w:t>
            </w:r>
          </w:p>
        </w:tc>
      </w:tr>
      <w:tr w:rsidR="004E4B55">
        <w:tc>
          <w:tcPr>
            <w:tcW w:w="4428" w:type="dxa"/>
          </w:tcPr>
          <w:p w:rsidR="004E4B55" w:rsidRDefault="004E4B55">
            <w:pPr>
              <w:numPr>
                <w:ilvl w:val="0"/>
                <w:numId w:val="3"/>
              </w:numPr>
              <w:rPr>
                <w:sz w:val="20"/>
              </w:rPr>
            </w:pPr>
            <w:r>
              <w:rPr>
                <w:sz w:val="20"/>
              </w:rPr>
              <w:t>Suicide and depression</w:t>
            </w:r>
          </w:p>
        </w:tc>
        <w:tc>
          <w:tcPr>
            <w:tcW w:w="4428" w:type="dxa"/>
          </w:tcPr>
          <w:p w:rsidR="004E4B55" w:rsidRDefault="004E4B55">
            <w:pPr>
              <w:numPr>
                <w:ilvl w:val="0"/>
                <w:numId w:val="3"/>
              </w:numPr>
              <w:rPr>
                <w:sz w:val="20"/>
              </w:rPr>
            </w:pPr>
            <w:r>
              <w:rPr>
                <w:sz w:val="20"/>
              </w:rPr>
              <w:t>Hair</w:t>
            </w:r>
          </w:p>
        </w:tc>
      </w:tr>
      <w:tr w:rsidR="004E4B55">
        <w:tc>
          <w:tcPr>
            <w:tcW w:w="4428" w:type="dxa"/>
          </w:tcPr>
          <w:p w:rsidR="004E4B55" w:rsidRDefault="004E4B55">
            <w:pPr>
              <w:numPr>
                <w:ilvl w:val="0"/>
                <w:numId w:val="3"/>
              </w:numPr>
              <w:rPr>
                <w:sz w:val="20"/>
              </w:rPr>
            </w:pPr>
            <w:r>
              <w:rPr>
                <w:sz w:val="20"/>
              </w:rPr>
              <w:t>Race</w:t>
            </w:r>
          </w:p>
        </w:tc>
        <w:tc>
          <w:tcPr>
            <w:tcW w:w="4428" w:type="dxa"/>
          </w:tcPr>
          <w:p w:rsidR="004E4B55" w:rsidRDefault="004E4B55">
            <w:pPr>
              <w:numPr>
                <w:ilvl w:val="0"/>
                <w:numId w:val="3"/>
              </w:numPr>
              <w:rPr>
                <w:sz w:val="20"/>
              </w:rPr>
            </w:pPr>
            <w:r>
              <w:rPr>
                <w:sz w:val="20"/>
              </w:rPr>
              <w:t>The power of persuasion and manipulation through speech</w:t>
            </w:r>
          </w:p>
        </w:tc>
      </w:tr>
      <w:tr w:rsidR="004E4B55">
        <w:tc>
          <w:tcPr>
            <w:tcW w:w="4428" w:type="dxa"/>
          </w:tcPr>
          <w:p w:rsidR="004E4B55" w:rsidRDefault="004E4B55">
            <w:pPr>
              <w:numPr>
                <w:ilvl w:val="0"/>
                <w:numId w:val="3"/>
              </w:numPr>
              <w:rPr>
                <w:sz w:val="20"/>
              </w:rPr>
            </w:pPr>
            <w:r>
              <w:rPr>
                <w:sz w:val="20"/>
              </w:rPr>
              <w:t>The shallowness of labels</w:t>
            </w:r>
          </w:p>
        </w:tc>
        <w:tc>
          <w:tcPr>
            <w:tcW w:w="4428" w:type="dxa"/>
          </w:tcPr>
          <w:p w:rsidR="004E4B55" w:rsidRDefault="004E4B55">
            <w:pPr>
              <w:numPr>
                <w:ilvl w:val="0"/>
                <w:numId w:val="3"/>
              </w:numPr>
              <w:rPr>
                <w:sz w:val="20"/>
              </w:rPr>
            </w:pPr>
            <w:r>
              <w:rPr>
                <w:sz w:val="20"/>
              </w:rPr>
              <w:t>The flood and rebirth</w:t>
            </w:r>
          </w:p>
        </w:tc>
      </w:tr>
      <w:tr w:rsidR="004E4B55">
        <w:tc>
          <w:tcPr>
            <w:tcW w:w="4428" w:type="dxa"/>
          </w:tcPr>
          <w:p w:rsidR="004E4B55" w:rsidRDefault="004E4B55">
            <w:pPr>
              <w:numPr>
                <w:ilvl w:val="0"/>
                <w:numId w:val="3"/>
              </w:numPr>
              <w:rPr>
                <w:sz w:val="20"/>
              </w:rPr>
            </w:pPr>
            <w:r>
              <w:rPr>
                <w:sz w:val="20"/>
              </w:rPr>
              <w:t>High stakes testing</w:t>
            </w:r>
          </w:p>
        </w:tc>
        <w:tc>
          <w:tcPr>
            <w:tcW w:w="4428" w:type="dxa"/>
          </w:tcPr>
          <w:p w:rsidR="004E4B55" w:rsidRDefault="004E4B55">
            <w:pPr>
              <w:numPr>
                <w:ilvl w:val="0"/>
                <w:numId w:val="3"/>
              </w:numPr>
              <w:rPr>
                <w:sz w:val="20"/>
              </w:rPr>
            </w:pPr>
            <w:r>
              <w:rPr>
                <w:sz w:val="20"/>
              </w:rPr>
              <w:t>The role of a woman</w:t>
            </w:r>
          </w:p>
        </w:tc>
      </w:tr>
      <w:tr w:rsidR="004E4B55">
        <w:tc>
          <w:tcPr>
            <w:tcW w:w="4428" w:type="dxa"/>
          </w:tcPr>
          <w:p w:rsidR="004E4B55" w:rsidRDefault="004E4B55">
            <w:pPr>
              <w:numPr>
                <w:ilvl w:val="0"/>
                <w:numId w:val="3"/>
              </w:numPr>
              <w:rPr>
                <w:sz w:val="20"/>
              </w:rPr>
            </w:pPr>
            <w:r>
              <w:rPr>
                <w:sz w:val="20"/>
              </w:rPr>
              <w:t>Cliques</w:t>
            </w:r>
          </w:p>
        </w:tc>
        <w:tc>
          <w:tcPr>
            <w:tcW w:w="4428" w:type="dxa"/>
          </w:tcPr>
          <w:p w:rsidR="004E4B55" w:rsidRDefault="004E4B55">
            <w:pPr>
              <w:numPr>
                <w:ilvl w:val="0"/>
                <w:numId w:val="3"/>
              </w:numPr>
              <w:rPr>
                <w:sz w:val="20"/>
              </w:rPr>
            </w:pPr>
            <w:r>
              <w:rPr>
                <w:sz w:val="20"/>
              </w:rPr>
              <w:t>Defining love</w:t>
            </w:r>
          </w:p>
        </w:tc>
      </w:tr>
      <w:tr w:rsidR="004E4B55">
        <w:tc>
          <w:tcPr>
            <w:tcW w:w="4428" w:type="dxa"/>
          </w:tcPr>
          <w:p w:rsidR="004E4B55" w:rsidRDefault="004E4B55">
            <w:pPr>
              <w:numPr>
                <w:ilvl w:val="0"/>
                <w:numId w:val="3"/>
              </w:numPr>
              <w:rPr>
                <w:sz w:val="20"/>
              </w:rPr>
            </w:pPr>
            <w:r>
              <w:rPr>
                <w:sz w:val="20"/>
              </w:rPr>
              <w:t>Physical effects of stress</w:t>
            </w:r>
          </w:p>
        </w:tc>
        <w:tc>
          <w:tcPr>
            <w:tcW w:w="4428" w:type="dxa"/>
          </w:tcPr>
          <w:p w:rsidR="004E4B55" w:rsidRDefault="004E4B55">
            <w:pPr>
              <w:numPr>
                <w:ilvl w:val="0"/>
                <w:numId w:val="3"/>
              </w:numPr>
              <w:rPr>
                <w:sz w:val="20"/>
              </w:rPr>
            </w:pPr>
            <w:r>
              <w:rPr>
                <w:sz w:val="20"/>
              </w:rPr>
              <w:t>Clothing</w:t>
            </w:r>
          </w:p>
        </w:tc>
      </w:tr>
      <w:tr w:rsidR="004E4B55">
        <w:tc>
          <w:tcPr>
            <w:tcW w:w="4428" w:type="dxa"/>
          </w:tcPr>
          <w:p w:rsidR="004E4B55" w:rsidRDefault="004E4B55">
            <w:pPr>
              <w:numPr>
                <w:ilvl w:val="0"/>
                <w:numId w:val="3"/>
              </w:numPr>
              <w:rPr>
                <w:sz w:val="20"/>
              </w:rPr>
            </w:pPr>
            <w:r>
              <w:rPr>
                <w:sz w:val="20"/>
              </w:rPr>
              <w:t>Laws and rules</w:t>
            </w:r>
          </w:p>
        </w:tc>
        <w:tc>
          <w:tcPr>
            <w:tcW w:w="4428" w:type="dxa"/>
          </w:tcPr>
          <w:p w:rsidR="004E4B55" w:rsidRDefault="004E4B55">
            <w:pPr>
              <w:numPr>
                <w:ilvl w:val="0"/>
                <w:numId w:val="3"/>
              </w:numPr>
              <w:rPr>
                <w:sz w:val="20"/>
              </w:rPr>
            </w:pPr>
            <w:r>
              <w:rPr>
                <w:sz w:val="20"/>
              </w:rPr>
              <w:t>Power and impotence</w:t>
            </w:r>
          </w:p>
        </w:tc>
      </w:tr>
      <w:tr w:rsidR="004E4B55">
        <w:tc>
          <w:tcPr>
            <w:tcW w:w="4428" w:type="dxa"/>
          </w:tcPr>
          <w:p w:rsidR="004E4B55" w:rsidRDefault="004E4B55">
            <w:pPr>
              <w:numPr>
                <w:ilvl w:val="0"/>
                <w:numId w:val="3"/>
              </w:numPr>
              <w:rPr>
                <w:sz w:val="20"/>
              </w:rPr>
            </w:pPr>
            <w:r>
              <w:rPr>
                <w:sz w:val="20"/>
              </w:rPr>
              <w:t xml:space="preserve">Excessive </w:t>
            </w:r>
            <w:proofErr w:type="spellStart"/>
            <w:r>
              <w:rPr>
                <w:sz w:val="20"/>
              </w:rPr>
              <w:t>extracurriculars</w:t>
            </w:r>
            <w:proofErr w:type="spellEnd"/>
          </w:p>
        </w:tc>
        <w:tc>
          <w:tcPr>
            <w:tcW w:w="4428" w:type="dxa"/>
          </w:tcPr>
          <w:p w:rsidR="004E4B55" w:rsidRDefault="004E4B55">
            <w:pPr>
              <w:numPr>
                <w:ilvl w:val="0"/>
                <w:numId w:val="3"/>
              </w:numPr>
              <w:rPr>
                <w:sz w:val="20"/>
              </w:rPr>
            </w:pPr>
            <w:r>
              <w:rPr>
                <w:sz w:val="20"/>
              </w:rPr>
              <w:t>Rumor or story telling</w:t>
            </w:r>
          </w:p>
        </w:tc>
      </w:tr>
      <w:tr w:rsidR="004E4B55">
        <w:tc>
          <w:tcPr>
            <w:tcW w:w="4428" w:type="dxa"/>
          </w:tcPr>
          <w:p w:rsidR="004E4B55" w:rsidRDefault="004E4B55">
            <w:pPr>
              <w:numPr>
                <w:ilvl w:val="0"/>
                <w:numId w:val="3"/>
              </w:numPr>
              <w:rPr>
                <w:sz w:val="20"/>
              </w:rPr>
            </w:pPr>
            <w:r>
              <w:rPr>
                <w:sz w:val="20"/>
              </w:rPr>
              <w:t xml:space="preserve">Judgment </w:t>
            </w:r>
          </w:p>
        </w:tc>
        <w:tc>
          <w:tcPr>
            <w:tcW w:w="4428" w:type="dxa"/>
          </w:tcPr>
          <w:p w:rsidR="004E4B55" w:rsidRDefault="004E4B55">
            <w:pPr>
              <w:numPr>
                <w:ilvl w:val="0"/>
                <w:numId w:val="3"/>
              </w:numPr>
              <w:rPr>
                <w:sz w:val="20"/>
              </w:rPr>
            </w:pPr>
            <w:r>
              <w:rPr>
                <w:sz w:val="20"/>
              </w:rPr>
              <w:t>Ships and the horizon</w:t>
            </w:r>
          </w:p>
        </w:tc>
      </w:tr>
      <w:tr w:rsidR="004E4B55">
        <w:tc>
          <w:tcPr>
            <w:tcW w:w="4428" w:type="dxa"/>
          </w:tcPr>
          <w:p w:rsidR="004E4B55" w:rsidRDefault="004E4B55">
            <w:pPr>
              <w:rPr>
                <w:sz w:val="20"/>
              </w:rPr>
            </w:pPr>
          </w:p>
        </w:tc>
        <w:tc>
          <w:tcPr>
            <w:tcW w:w="4428" w:type="dxa"/>
          </w:tcPr>
          <w:p w:rsidR="004E4B55" w:rsidRDefault="004E4B55">
            <w:pPr>
              <w:rPr>
                <w:sz w:val="20"/>
              </w:rPr>
            </w:pPr>
          </w:p>
        </w:tc>
      </w:tr>
    </w:tbl>
    <w:p w:rsidR="004E4B55" w:rsidRDefault="004E4B55">
      <w:pPr>
        <w:ind w:left="720"/>
        <w:rPr>
          <w:sz w:val="20"/>
        </w:rPr>
      </w:pPr>
    </w:p>
    <w:p w:rsidR="004E4B55" w:rsidRDefault="004E4B55">
      <w:pPr>
        <w:ind w:left="720"/>
        <w:rPr>
          <w:sz w:val="20"/>
        </w:rPr>
      </w:pPr>
      <w:r>
        <w:rPr>
          <w:b/>
          <w:bCs/>
          <w:sz w:val="20"/>
        </w:rPr>
        <w:t>*Motifs:</w:t>
      </w:r>
      <w:r>
        <w:rPr>
          <w:sz w:val="20"/>
        </w:rPr>
        <w:t xml:space="preserve"> These are recurring features (images, symbols, metaphors, events, ideas) that continually receive reference in the novel. In </w:t>
      </w:r>
      <w:r>
        <w:rPr>
          <w:i/>
          <w:iCs/>
          <w:sz w:val="20"/>
        </w:rPr>
        <w:t>To Kill a Mockingbird,</w:t>
      </w:r>
      <w:r>
        <w:rPr>
          <w:sz w:val="20"/>
        </w:rPr>
        <w:t xml:space="preserve"> judgment of appearances and Boo </w:t>
      </w:r>
      <w:proofErr w:type="spellStart"/>
      <w:r>
        <w:rPr>
          <w:sz w:val="20"/>
        </w:rPr>
        <w:t>Radley</w:t>
      </w:r>
      <w:proofErr w:type="spellEnd"/>
      <w:r>
        <w:rPr>
          <w:sz w:val="20"/>
        </w:rPr>
        <w:t xml:space="preserve"> might be motifs. For each novel select from the list of motifs above.</w:t>
      </w:r>
    </w:p>
    <w:p w:rsidR="004E4B55" w:rsidRDefault="004E4B55">
      <w:pPr>
        <w:ind w:left="720"/>
        <w:rPr>
          <w:sz w:val="20"/>
        </w:rPr>
      </w:pPr>
      <w:r>
        <w:rPr>
          <w:sz w:val="20"/>
        </w:rPr>
        <w:t xml:space="preserve"> </w:t>
      </w:r>
    </w:p>
    <w:p w:rsidR="004E4B55" w:rsidRDefault="004E4B55">
      <w:pPr>
        <w:ind w:left="720"/>
        <w:rPr>
          <w:sz w:val="20"/>
        </w:rPr>
      </w:pPr>
      <w:r>
        <w:rPr>
          <w:sz w:val="20"/>
        </w:rPr>
        <w:t xml:space="preserve">** </w:t>
      </w:r>
      <w:r>
        <w:rPr>
          <w:b/>
          <w:bCs/>
          <w:sz w:val="20"/>
        </w:rPr>
        <w:t xml:space="preserve">Evidence: </w:t>
      </w:r>
      <w:r>
        <w:rPr>
          <w:sz w:val="20"/>
        </w:rPr>
        <w:t>While analyzing the book, try to find the places where the author references the motifs you selected. Quote the sentences, phrases, or paragraphs that reference your motifs. Hint: try to select evidence that is not completely obvious. Do not repeat any evidence. Look for passages with metaphors or complex language, passages that imply rather than overtly state ideas. The goal is for you to increase your audience’s understanding of the book.</w:t>
      </w:r>
    </w:p>
    <w:p w:rsidR="004E4B55" w:rsidRDefault="004E4B55">
      <w:pPr>
        <w:ind w:left="720"/>
        <w:rPr>
          <w:sz w:val="20"/>
        </w:rPr>
      </w:pPr>
    </w:p>
    <w:p w:rsidR="004E4B55" w:rsidRDefault="004E4B55">
      <w:pPr>
        <w:rPr>
          <w:b/>
          <w:bCs/>
        </w:rPr>
      </w:pPr>
    </w:p>
    <w:p w:rsidR="004E4B55" w:rsidRDefault="004E4B55">
      <w:pPr>
        <w:rPr>
          <w:b/>
          <w:bCs/>
        </w:rPr>
      </w:pPr>
    </w:p>
    <w:p w:rsidR="004E4B55" w:rsidRDefault="004E4B55"/>
    <w:p w:rsidR="004E4B55" w:rsidRDefault="004E4B55">
      <w:r>
        <w:t xml:space="preserve">If you have any questions, please e-mail me at </w:t>
      </w:r>
      <w:hyperlink r:id="rId5" w:history="1">
        <w:r>
          <w:rPr>
            <w:rStyle w:val="Hyperlink"/>
          </w:rPr>
          <w:t>hutchia.rose@pitt.k12.nc.us</w:t>
        </w:r>
      </w:hyperlink>
      <w:r>
        <w:t xml:space="preserve">. </w:t>
      </w:r>
    </w:p>
    <w:p w:rsidR="004E4B55" w:rsidRDefault="004E4B55"/>
    <w:p w:rsidR="004E4B55" w:rsidRDefault="004E4B55">
      <w:r>
        <w:t xml:space="preserve">For extra help in understanding either book, you may participate in book discussions on the class website at hutchclass.weebly.com. </w:t>
      </w:r>
    </w:p>
    <w:p w:rsidR="004E4B55" w:rsidRDefault="004E4B55"/>
    <w:p w:rsidR="004E4B55" w:rsidRDefault="004E4B55">
      <w:r>
        <w:t xml:space="preserve">*Please note, you are receiving this assignment because you have registered for AP Language and Composition. This is not a guarantee that you will be scheduled for the course, but every effort will be made by your counselor to ensure that you are scheduled for the classes you requested. </w:t>
      </w:r>
    </w:p>
    <w:sectPr w:rsidR="004E4B55" w:rsidSect="004E4B55">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6D5E"/>
    <w:multiLevelType w:val="hybridMultilevel"/>
    <w:tmpl w:val="F77CE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5207F"/>
    <w:multiLevelType w:val="multilevel"/>
    <w:tmpl w:val="F77CE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02319D8"/>
    <w:multiLevelType w:val="hybridMultilevel"/>
    <w:tmpl w:val="4236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187F02"/>
    <w:multiLevelType w:val="hybridMultilevel"/>
    <w:tmpl w:val="A1F8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6D421C"/>
    <w:multiLevelType w:val="hybridMultilevel"/>
    <w:tmpl w:val="D1F2B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696520"/>
    <w:multiLevelType w:val="hybridMultilevel"/>
    <w:tmpl w:val="721C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stylePaneSortMethod w:val="00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6D32"/>
    <w:rsid w:val="003C6D32"/>
    <w:rsid w:val="004E4B55"/>
    <w:rsid w:val="00641C57"/>
    <w:rsid w:val="00B93875"/>
    <w:rsid w:val="00E96924"/>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924"/>
    <w:rPr>
      <w:sz w:val="24"/>
      <w:szCs w:val="24"/>
    </w:rPr>
  </w:style>
  <w:style w:type="paragraph" w:styleId="Heading1">
    <w:name w:val="heading 1"/>
    <w:basedOn w:val="Normal"/>
    <w:next w:val="Normal"/>
    <w:qFormat/>
    <w:rsid w:val="00E96924"/>
    <w:pPr>
      <w:keepNext/>
      <w:outlineLvl w:val="0"/>
    </w:pPr>
    <w:rPr>
      <w:b/>
      <w:bCs/>
      <w:i/>
      <w:iCs/>
    </w:rPr>
  </w:style>
  <w:style w:type="paragraph" w:styleId="Heading2">
    <w:name w:val="heading 2"/>
    <w:basedOn w:val="Normal"/>
    <w:next w:val="Normal"/>
    <w:qFormat/>
    <w:rsid w:val="00E96924"/>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6924"/>
    <w:pPr>
      <w:jc w:val="center"/>
    </w:pPr>
    <w:rPr>
      <w:b/>
      <w:bCs/>
    </w:rPr>
  </w:style>
  <w:style w:type="character" w:styleId="Hyperlink">
    <w:name w:val="Hyperlink"/>
    <w:basedOn w:val="DefaultParagraphFont"/>
    <w:rsid w:val="00E96924"/>
    <w:rPr>
      <w:color w:val="0000FF"/>
      <w:u w:val="single"/>
    </w:rPr>
  </w:style>
  <w:style w:type="character" w:styleId="FollowedHyperlink">
    <w:name w:val="FollowedHyperlink"/>
    <w:basedOn w:val="DefaultParagraphFont"/>
    <w:uiPriority w:val="99"/>
    <w:semiHidden/>
    <w:unhideWhenUsed/>
    <w:rsid w:val="00DE4AD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inchm.rose@pitt.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Concepts and Motifs in The Great Gatsby</vt:lpstr>
    </vt:vector>
  </TitlesOfParts>
  <Company>J. H. Rose High School</Company>
  <LinksUpToDate>false</LinksUpToDate>
  <CharactersWithSpaces>5203</CharactersWithSpaces>
  <SharedDoc>false</SharedDoc>
  <HLinks>
    <vt:vector size="6" baseType="variant">
      <vt:variant>
        <vt:i4>5570599</vt:i4>
      </vt:variant>
      <vt:variant>
        <vt:i4>0</vt:i4>
      </vt:variant>
      <vt:variant>
        <vt:i4>0</vt:i4>
      </vt:variant>
      <vt:variant>
        <vt:i4>5</vt:i4>
      </vt:variant>
      <vt:variant>
        <vt:lpwstr>mailto:flinchm.rose@pitt.k12.nc.us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Motifs in The Great Gatsby</dc:title>
  <dc:subject/>
  <dc:creator>admin</dc:creator>
  <cp:keywords/>
  <dc:description/>
  <cp:lastModifiedBy>Pitt County Schools</cp:lastModifiedBy>
  <cp:revision>2</cp:revision>
  <cp:lastPrinted>2009-06-02T12:41:00Z</cp:lastPrinted>
  <dcterms:created xsi:type="dcterms:W3CDTF">2012-02-07T16:42:00Z</dcterms:created>
  <dcterms:modified xsi:type="dcterms:W3CDTF">2012-02-07T16:42:00Z</dcterms:modified>
</cp:coreProperties>
</file>